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APOYO A LA INDUSTRIA NACIONAL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DC,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Referencia: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Convocatoria pública CP-005-2025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En cumplimiento de lo señalado en la Ley 816 de 2003 “</w:t>
      </w:r>
      <w:r w:rsidDel="00000000" w:rsidR="00000000" w:rsidRPr="00000000">
        <w:rPr>
          <w:rFonts w:ascii="Tahoma" w:cs="Tahoma" w:eastAsia="Tahoma" w:hAnsi="Tahoma"/>
          <w:i w:val="1"/>
          <w:color w:val="000000"/>
          <w:sz w:val="20"/>
          <w:szCs w:val="20"/>
          <w:rtl w:val="0"/>
        </w:rPr>
        <w:t xml:space="preserve">por medio de la cual se apoya a la Industria Nacional a través de la contratación pública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”, y en aplicación de lo establecido en el Decreto 1082 de 2015 modificado mediante el Decreto 6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80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de 2021, nos permitimos realizar el siguiente ofrecimiento: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Layout w:type="fixed"/>
        <w:tblLook w:val="0400"/>
      </w:tblPr>
      <w:tblGrid>
        <w:gridCol w:w="5665"/>
        <w:gridCol w:w="2832"/>
        <w:tblGridChange w:id="0">
          <w:tblGrid>
            <w:gridCol w:w="5665"/>
            <w:gridCol w:w="2832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rtl w:val="0"/>
              </w:rPr>
              <w:t xml:space="preserve">PROTECCIÓN A LA INDUSTRIA NACIONAL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rtl w:val="0"/>
              </w:rPr>
              <w:t xml:space="preserve">MARCAR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100% nacionales o extranjeros que aplican el principio de reciprocidad. 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Puntaje: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10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50% nacionales o extranjeros que aplican el principio de reciprocidad. 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Puntaje: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5 P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untos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No ofrece vinculación de servicios nacionales.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2A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c6olol17tcv5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18"/>
          <w:szCs w:val="18"/>
        </w:rPr>
      </w:pPr>
      <w:r w:rsidDel="00000000" w:rsidR="00000000" w:rsidRPr="00000000">
        <w:rPr>
          <w:rFonts w:ascii="Tahoma" w:cs="Tahoma" w:eastAsia="Tahoma" w:hAnsi="Tahoma"/>
          <w:i w:val="1"/>
          <w:sz w:val="16"/>
          <w:szCs w:val="16"/>
          <w:rtl w:val="0"/>
        </w:rPr>
        <w:t xml:space="preserve">Nota: Si en la tabla se selecciona más de una opción, la oferta se evaluará con cero (0) puntos en este factor ponderable.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ym8cg2b6hqz7" w:id="3"/>
      <w:bookmarkEnd w:id="3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6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widowControl w:val="0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2"/>
      <w:tblW w:w="89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89"/>
      <w:gridCol w:w="4489"/>
      <w:tblGridChange w:id="0">
        <w:tblGrid>
          <w:gridCol w:w="4489"/>
          <w:gridCol w:w="44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0">
          <w:pPr>
            <w:tabs>
              <w:tab w:val="center" w:leader="none" w:pos="4419"/>
              <w:tab w:val="right" w:leader="none" w:pos="8838"/>
            </w:tabs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19"/>
              <w:szCs w:val="19"/>
              <w:highlight w:val="white"/>
            </w:rPr>
            <w:drawing>
              <wp:inline distB="19050" distT="19050" distL="19050" distR="19050">
                <wp:extent cx="904875" cy="673100"/>
                <wp:effectExtent b="0" l="0" r="0" t="0"/>
                <wp:docPr id="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1">
          <w:pPr>
            <w:tabs>
              <w:tab w:val="center" w:leader="none" w:pos="4419"/>
              <w:tab w:val="right" w:leader="none" w:pos="8838"/>
            </w:tabs>
            <w:rPr/>
          </w:pPr>
          <w:r w:rsidDel="00000000" w:rsidR="00000000" w:rsidRPr="00000000">
            <w:rPr>
              <w:rFonts w:ascii="Tahoma" w:cs="Tahoma" w:eastAsia="Tahoma" w:hAnsi="Tahoma"/>
              <w:sz w:val="18"/>
              <w:szCs w:val="18"/>
              <w:rtl w:val="0"/>
            </w:rPr>
            <w:t xml:space="preserve">Convocatoria pública CP-005-2025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32BB5"/>
  </w:style>
  <w:style w:type="paragraph" w:styleId="Piedepgina">
    <w:name w:val="footer"/>
    <w:basedOn w:val="Normal"/>
    <w:link w:val="Piedepgina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32BB5"/>
  </w:style>
  <w:style w:type="paragraph" w:styleId="NormalWeb">
    <w:name w:val="Normal (Web)"/>
    <w:basedOn w:val="Normal"/>
    <w:uiPriority w:val="99"/>
    <w:semiHidden w:val="1"/>
    <w:unhideWhenUsed w:val="1"/>
    <w:rsid w:val="00C32B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i/vU5NvJB5pzxYtERCad/AeqUQ==">CgMxLjAyCWguMzBqMHpsbDIIaC5namRneHMyDmguYzZvbG9sMTd0Y3Y1Mg5oLnltOGNnMmI2aHF6NzgAciExMmxHekRjWjlVdkhIYndncFdzcG16Z0Z5eWNSYXRVYUg=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2024-04-08T14:14:00Z</dcterms:created>
  <dc:creator>Luis Eduardo Paez Pacheco</dc:creator>
</cp:coreProperties>
</file>